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72" w:rsidRPr="00907E72" w:rsidRDefault="00907E72" w:rsidP="00907E72">
      <w:pPr>
        <w:spacing w:before="120" w:after="120" w:line="240" w:lineRule="auto"/>
        <w:outlineLvl w:val="1"/>
        <w:rPr>
          <w:rFonts w:ascii="inherit" w:eastAsia="Times New Roman" w:hAnsi="inherit" w:cs="Times New Roman"/>
          <w:color w:val="373C42"/>
          <w:sz w:val="45"/>
          <w:szCs w:val="45"/>
          <w:lang w:eastAsia="fr-FR"/>
        </w:rPr>
      </w:pPr>
      <w:r w:rsidRPr="00907E72">
        <w:rPr>
          <w:rFonts w:ascii="inherit" w:eastAsia="Times New Roman" w:hAnsi="inherit" w:cs="Times New Roman"/>
          <w:color w:val="373C42"/>
          <w:sz w:val="45"/>
          <w:szCs w:val="45"/>
          <w:lang w:eastAsia="fr-FR"/>
        </w:rPr>
        <w:t xml:space="preserve">Servitudes relatives aux transmissions </w:t>
      </w:r>
      <w:proofErr w:type="spellStart"/>
      <w:r w:rsidRPr="00907E72">
        <w:rPr>
          <w:rFonts w:ascii="inherit" w:eastAsia="Times New Roman" w:hAnsi="inherit" w:cs="Times New Roman"/>
          <w:color w:val="373C42"/>
          <w:sz w:val="45"/>
          <w:szCs w:val="45"/>
          <w:lang w:eastAsia="fr-FR"/>
        </w:rPr>
        <w:t>radioélectriques</w:t>
      </w:r>
      <w:proofErr w:type="spellEnd"/>
      <w:r w:rsidRPr="00907E72">
        <w:rPr>
          <w:rFonts w:ascii="inherit" w:eastAsia="Times New Roman" w:hAnsi="inherit" w:cs="Times New Roman"/>
          <w:color w:val="373C42"/>
          <w:sz w:val="45"/>
          <w:szCs w:val="45"/>
          <w:lang w:eastAsia="fr-FR"/>
        </w:rPr>
        <w:t xml:space="preserve"> </w:t>
      </w:r>
      <w:proofErr w:type="spellStart"/>
      <w:r w:rsidRPr="00907E72">
        <w:rPr>
          <w:rFonts w:ascii="inherit" w:eastAsia="Times New Roman" w:hAnsi="inherit" w:cs="Times New Roman"/>
          <w:color w:val="373C42"/>
          <w:sz w:val="45"/>
          <w:szCs w:val="45"/>
          <w:lang w:eastAsia="fr-FR"/>
        </w:rPr>
        <w:t>concernant</w:t>
      </w:r>
      <w:proofErr w:type="spellEnd"/>
      <w:r w:rsidRPr="00907E72">
        <w:rPr>
          <w:rFonts w:ascii="inherit" w:eastAsia="Times New Roman" w:hAnsi="inherit" w:cs="Times New Roman"/>
          <w:color w:val="373C42"/>
          <w:sz w:val="45"/>
          <w:szCs w:val="45"/>
          <w:lang w:eastAsia="fr-FR"/>
        </w:rPr>
        <w:t xml:space="preserve"> la protection </w:t>
      </w:r>
      <w:proofErr w:type="spellStart"/>
      <w:r w:rsidRPr="00907E72">
        <w:rPr>
          <w:rFonts w:ascii="inherit" w:eastAsia="Times New Roman" w:hAnsi="inherit" w:cs="Times New Roman"/>
          <w:color w:val="373C42"/>
          <w:sz w:val="45"/>
          <w:szCs w:val="45"/>
          <w:lang w:eastAsia="fr-FR"/>
        </w:rPr>
        <w:t>contre</w:t>
      </w:r>
      <w:proofErr w:type="spellEnd"/>
      <w:r w:rsidRPr="00907E72">
        <w:rPr>
          <w:rFonts w:ascii="inherit" w:eastAsia="Times New Roman" w:hAnsi="inherit" w:cs="Times New Roman"/>
          <w:color w:val="373C42"/>
          <w:sz w:val="45"/>
          <w:szCs w:val="45"/>
          <w:lang w:eastAsia="fr-FR"/>
        </w:rPr>
        <w:t xml:space="preserve"> les obstacles des </w:t>
      </w:r>
      <w:proofErr w:type="spellStart"/>
      <w:r w:rsidRPr="00907E72">
        <w:rPr>
          <w:rFonts w:ascii="inherit" w:eastAsia="Times New Roman" w:hAnsi="inherit" w:cs="Times New Roman"/>
          <w:color w:val="373C42"/>
          <w:sz w:val="45"/>
          <w:szCs w:val="45"/>
          <w:lang w:eastAsia="fr-FR"/>
        </w:rPr>
        <w:t>centres</w:t>
      </w:r>
      <w:proofErr w:type="spellEnd"/>
      <w:r w:rsidRPr="00907E72">
        <w:rPr>
          <w:rFonts w:ascii="inherit" w:eastAsia="Times New Roman" w:hAnsi="inherit" w:cs="Times New Roman"/>
          <w:color w:val="373C42"/>
          <w:sz w:val="45"/>
          <w:szCs w:val="45"/>
          <w:lang w:eastAsia="fr-FR"/>
        </w:rPr>
        <w:t xml:space="preserve"> </w:t>
      </w:r>
      <w:proofErr w:type="spellStart"/>
      <w:r w:rsidRPr="00907E72">
        <w:rPr>
          <w:rFonts w:ascii="inherit" w:eastAsia="Times New Roman" w:hAnsi="inherit" w:cs="Times New Roman"/>
          <w:color w:val="373C42"/>
          <w:sz w:val="45"/>
          <w:szCs w:val="45"/>
          <w:lang w:eastAsia="fr-FR"/>
        </w:rPr>
        <w:t>d'émission</w:t>
      </w:r>
      <w:proofErr w:type="spellEnd"/>
      <w:r w:rsidRPr="00907E72">
        <w:rPr>
          <w:rFonts w:ascii="inherit" w:eastAsia="Times New Roman" w:hAnsi="inherit" w:cs="Times New Roman"/>
          <w:color w:val="373C42"/>
          <w:sz w:val="45"/>
          <w:szCs w:val="45"/>
          <w:lang w:eastAsia="fr-FR"/>
        </w:rPr>
        <w:t xml:space="preserve"> </w:t>
      </w:r>
      <w:proofErr w:type="gramStart"/>
      <w:r w:rsidRPr="00907E72">
        <w:rPr>
          <w:rFonts w:ascii="inherit" w:eastAsia="Times New Roman" w:hAnsi="inherit" w:cs="Times New Roman"/>
          <w:color w:val="373C42"/>
          <w:sz w:val="45"/>
          <w:szCs w:val="45"/>
          <w:lang w:eastAsia="fr-FR"/>
        </w:rPr>
        <w:t>et</w:t>
      </w:r>
      <w:proofErr w:type="gramEnd"/>
      <w:r w:rsidRPr="00907E72">
        <w:rPr>
          <w:rFonts w:ascii="inherit" w:eastAsia="Times New Roman" w:hAnsi="inherit" w:cs="Times New Roman"/>
          <w:color w:val="373C42"/>
          <w:sz w:val="45"/>
          <w:szCs w:val="45"/>
          <w:lang w:eastAsia="fr-FR"/>
        </w:rPr>
        <w:t xml:space="preserve"> de </w:t>
      </w:r>
      <w:proofErr w:type="spellStart"/>
      <w:r w:rsidRPr="00907E72">
        <w:rPr>
          <w:rFonts w:ascii="inherit" w:eastAsia="Times New Roman" w:hAnsi="inherit" w:cs="Times New Roman"/>
          <w:color w:val="373C42"/>
          <w:sz w:val="45"/>
          <w:szCs w:val="45"/>
          <w:lang w:eastAsia="fr-FR"/>
        </w:rPr>
        <w:t>réception</w:t>
      </w:r>
      <w:proofErr w:type="spellEnd"/>
      <w:r w:rsidRPr="00907E72">
        <w:rPr>
          <w:rFonts w:ascii="inherit" w:eastAsia="Times New Roman" w:hAnsi="inherit" w:cs="Times New Roman"/>
          <w:color w:val="373C42"/>
          <w:sz w:val="45"/>
          <w:szCs w:val="45"/>
          <w:lang w:eastAsia="fr-FR"/>
        </w:rPr>
        <w:t xml:space="preserve"> </w:t>
      </w:r>
      <w:proofErr w:type="spellStart"/>
      <w:r w:rsidRPr="00907E72">
        <w:rPr>
          <w:rFonts w:ascii="inherit" w:eastAsia="Times New Roman" w:hAnsi="inherit" w:cs="Times New Roman"/>
          <w:color w:val="373C42"/>
          <w:sz w:val="45"/>
          <w:szCs w:val="45"/>
          <w:lang w:eastAsia="fr-FR"/>
        </w:rPr>
        <w:t>exploités</w:t>
      </w:r>
      <w:proofErr w:type="spellEnd"/>
      <w:r w:rsidRPr="00907E72">
        <w:rPr>
          <w:rFonts w:ascii="inherit" w:eastAsia="Times New Roman" w:hAnsi="inherit" w:cs="Times New Roman"/>
          <w:color w:val="373C42"/>
          <w:sz w:val="45"/>
          <w:szCs w:val="45"/>
          <w:lang w:eastAsia="fr-FR"/>
        </w:rPr>
        <w:t xml:space="preserve"> </w:t>
      </w:r>
      <w:proofErr w:type="spellStart"/>
      <w:r w:rsidRPr="00907E72">
        <w:rPr>
          <w:rFonts w:ascii="inherit" w:eastAsia="Times New Roman" w:hAnsi="inherit" w:cs="Times New Roman"/>
          <w:color w:val="373C42"/>
          <w:sz w:val="45"/>
          <w:szCs w:val="45"/>
          <w:lang w:eastAsia="fr-FR"/>
        </w:rPr>
        <w:t>par</w:t>
      </w:r>
      <w:proofErr w:type="spellEnd"/>
      <w:r w:rsidRPr="00907E72">
        <w:rPr>
          <w:rFonts w:ascii="inherit" w:eastAsia="Times New Roman" w:hAnsi="inherit" w:cs="Times New Roman"/>
          <w:color w:val="373C42"/>
          <w:sz w:val="45"/>
          <w:szCs w:val="45"/>
          <w:lang w:eastAsia="fr-FR"/>
        </w:rPr>
        <w:t xml:space="preserve"> </w:t>
      </w:r>
      <w:proofErr w:type="spellStart"/>
      <w:r w:rsidRPr="00907E72">
        <w:rPr>
          <w:rFonts w:ascii="inherit" w:eastAsia="Times New Roman" w:hAnsi="inherit" w:cs="Times New Roman"/>
          <w:color w:val="373C42"/>
          <w:sz w:val="45"/>
          <w:szCs w:val="45"/>
          <w:lang w:eastAsia="fr-FR"/>
        </w:rPr>
        <w:t>l'Etat</w:t>
      </w:r>
      <w:proofErr w:type="spellEnd"/>
      <w:r w:rsidRPr="00907E72">
        <w:rPr>
          <w:rFonts w:ascii="inherit" w:eastAsia="Times New Roman" w:hAnsi="inherit" w:cs="Times New Roman"/>
          <w:color w:val="373C42"/>
          <w:sz w:val="45"/>
          <w:szCs w:val="45"/>
          <w:lang w:eastAsia="fr-FR"/>
        </w:rPr>
        <w:t xml:space="preserve"> (PT2)</w:t>
      </w:r>
    </w:p>
    <w:p w:rsidR="00907E72" w:rsidRDefault="00907E72" w:rsidP="00907E72">
      <w:pPr>
        <w:pStyle w:val="Titre3"/>
        <w:tabs>
          <w:tab w:val="left" w:pos="453"/>
        </w:tabs>
        <w:spacing w:before="93" w:line="252" w:lineRule="auto"/>
        <w:ind w:right="217" w:firstLine="0"/>
        <w:rPr>
          <w:color w:val="010101"/>
          <w:w w:val="105"/>
        </w:rPr>
      </w:pPr>
    </w:p>
    <w:p w:rsidR="00907E72" w:rsidRPr="00907E72" w:rsidRDefault="00907E72" w:rsidP="00907E72">
      <w:pPr>
        <w:spacing w:after="150"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 xml:space="preserve">Les servitudes de catégorie PT2 concernent les servitudes de protection des centres </w:t>
      </w:r>
      <w:proofErr w:type="spellStart"/>
      <w:r w:rsidRPr="00907E72">
        <w:rPr>
          <w:rFonts w:ascii="Helvetica" w:eastAsia="Times New Roman" w:hAnsi="Helvetica" w:cs="Times New Roman"/>
          <w:color w:val="333333"/>
          <w:sz w:val="21"/>
          <w:szCs w:val="21"/>
          <w:lang w:eastAsia="fr-FR"/>
        </w:rPr>
        <w:t>radio-électriques</w:t>
      </w:r>
      <w:proofErr w:type="spellEnd"/>
      <w:r w:rsidRPr="00907E72">
        <w:rPr>
          <w:rFonts w:ascii="Helvetica" w:eastAsia="Times New Roman" w:hAnsi="Helvetica" w:cs="Times New Roman"/>
          <w:color w:val="333333"/>
          <w:sz w:val="21"/>
          <w:szCs w:val="21"/>
          <w:lang w:eastAsia="fr-FR"/>
        </w:rPr>
        <w:t xml:space="preserve"> d'émission et de réception contre les obstacles</w:t>
      </w:r>
      <w:r w:rsidRPr="00907E72">
        <w:rPr>
          <w:rFonts w:ascii="Helvetica" w:eastAsia="Times New Roman" w:hAnsi="Helvetica" w:cs="Times New Roman"/>
          <w:color w:val="333333"/>
          <w:sz w:val="21"/>
          <w:szCs w:val="21"/>
          <w:lang w:eastAsia="fr-FR"/>
        </w:rPr>
        <w:br/>
        <w:t>Elles sont instituées en application des articles L. 54 à L.56-1 du code des postes et des communications électroniques afin de protéger les centres radioélectriques contre les obstacles physiques susceptibles de gêner la propagation des ondes.</w:t>
      </w:r>
    </w:p>
    <w:p w:rsidR="00907E72" w:rsidRPr="00907E72" w:rsidRDefault="00907E72" w:rsidP="00907E72">
      <w:pPr>
        <w:spacing w:after="150"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Il convient de distinguer deux régimes :</w:t>
      </w:r>
    </w:p>
    <w:p w:rsidR="00907E72" w:rsidRPr="00907E72" w:rsidRDefault="00907E72" w:rsidP="00907E72">
      <w:pPr>
        <w:numPr>
          <w:ilvl w:val="0"/>
          <w:numId w:val="2"/>
        </w:numPr>
        <w:spacing w:before="100" w:beforeAutospacing="1" w:after="100" w:afterAutospacing="1"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les servitudes instituées au bénéfice des centres radioélectriques concernant la défense nationale ou la sécurité publique (articles L.54 à L.56 du code des postes et des communications électroniques);</w:t>
      </w:r>
    </w:p>
    <w:p w:rsidR="00907E72" w:rsidRPr="00907E72" w:rsidRDefault="00907E72" w:rsidP="00907E72">
      <w:pPr>
        <w:numPr>
          <w:ilvl w:val="0"/>
          <w:numId w:val="2"/>
        </w:numPr>
        <w:spacing w:before="100" w:beforeAutospacing="1" w:after="100" w:afterAutospacing="1"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les servitudes instituées au bénéfice des centres radioélectriques appartenant à des opérateurs privés (article L.56-1 du code des postes et des communications électroniques). Cependant, en l'absence de décret d'application de l’article L.62-1 du code des postes et des communications électroniques, les exploitants des réseaux de communications électroniques ouverts au public ne peuvent bénéficier de servitudes radioélectriques à ce jour.</w:t>
      </w:r>
    </w:p>
    <w:p w:rsidR="00907E72" w:rsidRPr="00907E72" w:rsidRDefault="00907E72" w:rsidP="00907E72">
      <w:pPr>
        <w:spacing w:after="150"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Un plan d'établissement des servitudes approuvé par décret fixe les zones qui sont soumises à servitudes.</w:t>
      </w:r>
      <w:r w:rsidRPr="00907E72">
        <w:rPr>
          <w:rFonts w:ascii="Helvetica" w:eastAsia="Times New Roman" w:hAnsi="Helvetica" w:cs="Times New Roman"/>
          <w:color w:val="333333"/>
          <w:sz w:val="21"/>
          <w:szCs w:val="21"/>
          <w:lang w:eastAsia="fr-FR"/>
        </w:rPr>
        <w:br/>
        <w:t xml:space="preserve">Quatre types de zone peuvent être </w:t>
      </w:r>
      <w:proofErr w:type="gramStart"/>
      <w:r w:rsidRPr="00907E72">
        <w:rPr>
          <w:rFonts w:ascii="Helvetica" w:eastAsia="Times New Roman" w:hAnsi="Helvetica" w:cs="Times New Roman"/>
          <w:color w:val="333333"/>
          <w:sz w:val="21"/>
          <w:szCs w:val="21"/>
          <w:lang w:eastAsia="fr-FR"/>
        </w:rPr>
        <w:t>créées</w:t>
      </w:r>
      <w:proofErr w:type="gramEnd"/>
      <w:r w:rsidRPr="00907E72">
        <w:rPr>
          <w:rFonts w:ascii="Helvetica" w:eastAsia="Times New Roman" w:hAnsi="Helvetica" w:cs="Times New Roman"/>
          <w:color w:val="333333"/>
          <w:sz w:val="21"/>
          <w:szCs w:val="21"/>
          <w:lang w:eastAsia="fr-FR"/>
        </w:rPr>
        <w:t xml:space="preserve"> :</w:t>
      </w:r>
    </w:p>
    <w:p w:rsidR="00907E72" w:rsidRPr="00907E72" w:rsidRDefault="00907E72" w:rsidP="00907E72">
      <w:pPr>
        <w:numPr>
          <w:ilvl w:val="0"/>
          <w:numId w:val="3"/>
        </w:numPr>
        <w:spacing w:before="100" w:beforeAutospacing="1" w:after="100" w:afterAutospacing="1"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des zones primaires de dégagement et/ou zones secondaires de dégagement autour de chaque station émettrice ou réceptrice d'ondes radioélectriques utilisant des aériens directifs, ainsi qu'autour des laboratoires et centres de recherches radioélectriques;</w:t>
      </w:r>
    </w:p>
    <w:p w:rsidR="00907E72" w:rsidRPr="00907E72" w:rsidRDefault="00907E72" w:rsidP="00907E72">
      <w:pPr>
        <w:numPr>
          <w:ilvl w:val="0"/>
          <w:numId w:val="3"/>
        </w:numPr>
        <w:spacing w:before="100" w:beforeAutospacing="1" w:after="100" w:afterAutospacing="1"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des zones spéciales de dégagement entre deux centres assurant une liaison radioélectrique par ondes de fréquence supérieure à 30 mégahertz (c'est-à-dire de longueur d'onde inférieure à 10 mètres);</w:t>
      </w:r>
    </w:p>
    <w:p w:rsidR="00907E72" w:rsidRPr="00907E72" w:rsidRDefault="00907E72" w:rsidP="00907E72">
      <w:pPr>
        <w:numPr>
          <w:ilvl w:val="0"/>
          <w:numId w:val="3"/>
        </w:numPr>
        <w:spacing w:before="100" w:beforeAutospacing="1" w:after="100" w:afterAutospacing="1"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des secteurs de dégagement autour des stations de radiorepérage ou de radionavigation d'émission ou de réception.</w:t>
      </w:r>
    </w:p>
    <w:p w:rsidR="00907E72" w:rsidRPr="00907E72" w:rsidRDefault="00907E72" w:rsidP="00907E72">
      <w:pPr>
        <w:spacing w:after="150"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La servitude a pour conséquence :</w:t>
      </w:r>
    </w:p>
    <w:p w:rsidR="00907E72" w:rsidRPr="00907E72" w:rsidRDefault="00907E72" w:rsidP="00907E72">
      <w:pPr>
        <w:numPr>
          <w:ilvl w:val="0"/>
          <w:numId w:val="4"/>
        </w:numPr>
        <w:spacing w:before="100" w:beforeAutospacing="1" w:after="100" w:afterAutospacing="1"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l'obligation, dans toutes ces zones, pour les propriétaires de procéder si nécessaire à la suppression ou la modification de bâtiments constituant des immeubles par nature en application des articles 518 et 519 du code civil. A défaut d'accord amiable, l'administration pourra procéder à l'expropriation de ces immeubles;</w:t>
      </w:r>
    </w:p>
    <w:p w:rsidR="00907E72" w:rsidRPr="00907E72" w:rsidRDefault="00907E72" w:rsidP="00907E72">
      <w:pPr>
        <w:numPr>
          <w:ilvl w:val="0"/>
          <w:numId w:val="4"/>
        </w:numPr>
        <w:spacing w:before="100" w:beforeAutospacing="1" w:after="100" w:afterAutospacing="1"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l'interdiction, dans toutes ces zones, de créer des obstacles fixes ou mobiles dont la partie la plus haute excède les cotes fixées par le décret de servitudes sans autorisation du ministre qui exploite ou contrôle le centre;</w:t>
      </w:r>
    </w:p>
    <w:p w:rsidR="00907E72" w:rsidRPr="00907E72" w:rsidRDefault="00907E72" w:rsidP="00907E72">
      <w:pPr>
        <w:numPr>
          <w:ilvl w:val="0"/>
          <w:numId w:val="4"/>
        </w:numPr>
        <w:spacing w:before="100" w:beforeAutospacing="1" w:after="100" w:afterAutospacing="1"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l'interdiction, dans la zone primaire de dégagement :</w:t>
      </w:r>
    </w:p>
    <w:p w:rsidR="00907E72" w:rsidRPr="00907E72" w:rsidRDefault="00907E72" w:rsidP="00907E72">
      <w:pPr>
        <w:numPr>
          <w:ilvl w:val="0"/>
          <w:numId w:val="4"/>
        </w:numPr>
        <w:spacing w:before="100" w:beforeAutospacing="1" w:after="100" w:afterAutospacing="1"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d'une station de sécurité aéronautique ou d'un centre radiogoniométrique, de créer ou de conserver tout ouvrage métallique fixe ou mobile, des étendues d'eau ou de liquides de toute nature pouvant perturber le fonctionnement de cette installation ou de cette station;</w:t>
      </w:r>
    </w:p>
    <w:p w:rsidR="00907E72" w:rsidRPr="00907E72" w:rsidRDefault="00907E72" w:rsidP="00907E72">
      <w:pPr>
        <w:numPr>
          <w:ilvl w:val="0"/>
          <w:numId w:val="4"/>
        </w:numPr>
        <w:spacing w:before="100" w:beforeAutospacing="1" w:after="100" w:afterAutospacing="1"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t>d'une station de sécurité aéronautique, de créer ou de conserver des excavations artificielles pouvant perturber le fonctionnement de cette station.</w:t>
      </w:r>
    </w:p>
    <w:p w:rsidR="00907E72" w:rsidRDefault="00907E72" w:rsidP="00907E72">
      <w:pPr>
        <w:numPr>
          <w:ilvl w:val="0"/>
          <w:numId w:val="4"/>
        </w:numPr>
        <w:spacing w:before="100" w:beforeAutospacing="1" w:after="100" w:afterAutospacing="1" w:line="240" w:lineRule="auto"/>
        <w:rPr>
          <w:rFonts w:ascii="Helvetica" w:eastAsia="Times New Roman" w:hAnsi="Helvetica" w:cs="Times New Roman"/>
          <w:color w:val="333333"/>
          <w:sz w:val="21"/>
          <w:szCs w:val="21"/>
          <w:lang w:eastAsia="fr-FR"/>
        </w:rPr>
      </w:pPr>
      <w:r w:rsidRPr="00907E72">
        <w:rPr>
          <w:rFonts w:ascii="Helvetica" w:eastAsia="Times New Roman" w:hAnsi="Helvetica" w:cs="Times New Roman"/>
          <w:color w:val="333333"/>
          <w:sz w:val="21"/>
          <w:szCs w:val="21"/>
          <w:lang w:eastAsia="fr-FR"/>
        </w:rPr>
        <w:lastRenderedPageBreak/>
        <w:t>l'interdiction, dans la zone spéciale de dégagement, de créer des constructions ou des obstacles si</w:t>
      </w:r>
      <w:r>
        <w:rPr>
          <w:rFonts w:ascii="Helvetica" w:eastAsia="Times New Roman" w:hAnsi="Helvetica" w:cs="Times New Roman"/>
          <w:color w:val="333333"/>
          <w:sz w:val="21"/>
          <w:szCs w:val="21"/>
          <w:lang w:eastAsia="fr-FR"/>
        </w:rPr>
        <w:t>t</w:t>
      </w:r>
      <w:r w:rsidRPr="00907E72">
        <w:rPr>
          <w:rFonts w:ascii="Helvetica" w:eastAsia="Times New Roman" w:hAnsi="Helvetica" w:cs="Times New Roman"/>
          <w:color w:val="333333"/>
          <w:sz w:val="21"/>
          <w:szCs w:val="21"/>
          <w:lang w:eastAsia="fr-FR"/>
        </w:rPr>
        <w:t>ués au-dessus d'une ligne droite située à 10 mètres au-dessous de celle joignant les aériens d'émission et de réception, sans cependant que la limitation de hauteur imposée à une construction puisse être inférieure à 25 mètres.</w:t>
      </w:r>
    </w:p>
    <w:p w:rsidR="00907E72" w:rsidRPr="00907E72" w:rsidRDefault="00907E72" w:rsidP="00907E72">
      <w:pPr>
        <w:spacing w:before="100" w:beforeAutospacing="1" w:after="100" w:afterAutospacing="1" w:line="240" w:lineRule="auto"/>
        <w:rPr>
          <w:rFonts w:ascii="Helvetica" w:eastAsia="Times New Roman" w:hAnsi="Helvetica" w:cs="Times New Roman"/>
          <w:color w:val="333333"/>
          <w:sz w:val="21"/>
          <w:szCs w:val="21"/>
          <w:lang w:eastAsia="fr-FR"/>
        </w:rPr>
      </w:pPr>
    </w:p>
    <w:p w:rsidR="00907E72" w:rsidRPr="00451EBB" w:rsidRDefault="00907E72" w:rsidP="00907E72">
      <w:pPr>
        <w:pStyle w:val="NormalWeb"/>
        <w:spacing w:after="0" w:line="240" w:lineRule="auto"/>
        <w:ind w:left="360"/>
      </w:pPr>
      <w:bookmarkStart w:id="0" w:name="_GoBack"/>
      <w:bookmarkEnd w:id="0"/>
      <w:r>
        <w:rPr>
          <w:rFonts w:ascii="Liberation Sans" w:hAnsi="Liberation Sans" w:cs="Liberation Sans"/>
          <w:b/>
          <w:bCs/>
          <w:i/>
          <w:iCs/>
          <w:sz w:val="22"/>
          <w:szCs w:val="22"/>
        </w:rPr>
        <w:t>Servitude PT2</w:t>
      </w:r>
      <w:r>
        <w:rPr>
          <w:rFonts w:ascii="Liberation Sans" w:hAnsi="Liberation Sans" w:cs="Liberation Sans"/>
          <w:b/>
          <w:bCs/>
          <w:i/>
          <w:iCs/>
          <w:sz w:val="22"/>
          <w:szCs w:val="22"/>
        </w:rPr>
        <w:t xml:space="preserve"> protégeant les installations de l’aviation civile (DGAC) : </w:t>
      </w:r>
      <w:r w:rsidRPr="00451EBB">
        <w:rPr>
          <w:rFonts w:ascii="Liberation Sans" w:hAnsi="Liberation Sans" w:cs="Liberation Sans"/>
          <w:bCs/>
          <w:i/>
          <w:iCs/>
          <w:sz w:val="22"/>
          <w:szCs w:val="22"/>
        </w:rPr>
        <w:t xml:space="preserve">En cas de doute quant à l’application des limitations au droit d’utiliser le sol notamment dans le cadre de l’instruction d’une demande d’autorisation de construire, il convient de consulter le guichet unique de la DGAC (Courriel: </w:t>
      </w:r>
      <w:hyperlink r:id="rId6" w:history="1">
        <w:r w:rsidRPr="00451EBB">
          <w:rPr>
            <w:rStyle w:val="Lienhypertexte"/>
            <w:rFonts w:ascii="Liberation Sans" w:eastAsia="Arial" w:hAnsi="Liberation Sans" w:cs="Liberation Sans"/>
            <w:sz w:val="22"/>
            <w:szCs w:val="22"/>
          </w:rPr>
          <w:t>snia-urba-nord-bf@aviation-civile.gouv.fr</w:t>
        </w:r>
      </w:hyperlink>
      <w:r w:rsidRPr="00451EBB">
        <w:rPr>
          <w:rFonts w:ascii="Liberation Sans" w:hAnsi="Liberation Sans" w:cs="Liberation Sans"/>
          <w:bCs/>
          <w:i/>
          <w:iCs/>
          <w:sz w:val="22"/>
          <w:szCs w:val="22"/>
        </w:rPr>
        <w:t>, DGAC/SNIA NORD-Guichet unique urbanisme/UGD-82 rue des Pyrénées-75 970 PARIS CEDEX 20), dès qu’un projet de construction, installation se situe sous une de ces servitudes.</w:t>
      </w:r>
    </w:p>
    <w:p w:rsidR="00907E72" w:rsidRDefault="00907E72" w:rsidP="00907E72">
      <w:pPr>
        <w:pStyle w:val="Titre3"/>
        <w:tabs>
          <w:tab w:val="left" w:pos="453"/>
        </w:tabs>
        <w:spacing w:before="93" w:line="252" w:lineRule="auto"/>
        <w:ind w:right="217" w:firstLine="0"/>
        <w:rPr>
          <w:color w:val="010101"/>
        </w:rPr>
      </w:pPr>
    </w:p>
    <w:p w:rsidR="008B18D5" w:rsidRDefault="00907E72"/>
    <w:sectPr w:rsidR="008B1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37B"/>
    <w:multiLevelType w:val="multilevel"/>
    <w:tmpl w:val="A63A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22255"/>
    <w:multiLevelType w:val="multilevel"/>
    <w:tmpl w:val="C1EE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24404"/>
    <w:multiLevelType w:val="multilevel"/>
    <w:tmpl w:val="1B6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2287D"/>
    <w:multiLevelType w:val="hybridMultilevel"/>
    <w:tmpl w:val="1422AE28"/>
    <w:lvl w:ilvl="0" w:tplc="BD666B04">
      <w:start w:val="1"/>
      <w:numFmt w:val="decimal"/>
      <w:lvlText w:val="%1."/>
      <w:lvlJc w:val="left"/>
      <w:pPr>
        <w:ind w:left="911" w:hanging="267"/>
      </w:pPr>
      <w:rPr>
        <w:b/>
        <w:bCs/>
        <w:w w:val="100"/>
      </w:rPr>
    </w:lvl>
    <w:lvl w:ilvl="1" w:tplc="FE4ADFCA">
      <w:numFmt w:val="bullet"/>
      <w:lvlText w:val="•"/>
      <w:lvlJc w:val="left"/>
      <w:pPr>
        <w:ind w:left="1818" w:hanging="267"/>
      </w:pPr>
    </w:lvl>
    <w:lvl w:ilvl="2" w:tplc="DE84FF90">
      <w:numFmt w:val="bullet"/>
      <w:lvlText w:val="•"/>
      <w:lvlJc w:val="left"/>
      <w:pPr>
        <w:ind w:left="2716" w:hanging="267"/>
      </w:pPr>
    </w:lvl>
    <w:lvl w:ilvl="3" w:tplc="C3589138">
      <w:numFmt w:val="bullet"/>
      <w:lvlText w:val="•"/>
      <w:lvlJc w:val="left"/>
      <w:pPr>
        <w:ind w:left="3614" w:hanging="267"/>
      </w:pPr>
    </w:lvl>
    <w:lvl w:ilvl="4" w:tplc="93FA6FA4">
      <w:numFmt w:val="bullet"/>
      <w:lvlText w:val="•"/>
      <w:lvlJc w:val="left"/>
      <w:pPr>
        <w:ind w:left="4512" w:hanging="267"/>
      </w:pPr>
    </w:lvl>
    <w:lvl w:ilvl="5" w:tplc="82487EB4">
      <w:numFmt w:val="bullet"/>
      <w:lvlText w:val="•"/>
      <w:lvlJc w:val="left"/>
      <w:pPr>
        <w:ind w:left="5410" w:hanging="267"/>
      </w:pPr>
    </w:lvl>
    <w:lvl w:ilvl="6" w:tplc="38EC4422">
      <w:numFmt w:val="bullet"/>
      <w:lvlText w:val="•"/>
      <w:lvlJc w:val="left"/>
      <w:pPr>
        <w:ind w:left="6308" w:hanging="267"/>
      </w:pPr>
    </w:lvl>
    <w:lvl w:ilvl="7" w:tplc="37145530">
      <w:numFmt w:val="bullet"/>
      <w:lvlText w:val="•"/>
      <w:lvlJc w:val="left"/>
      <w:pPr>
        <w:ind w:left="7206" w:hanging="267"/>
      </w:pPr>
    </w:lvl>
    <w:lvl w:ilvl="8" w:tplc="63C64338">
      <w:numFmt w:val="bullet"/>
      <w:lvlText w:val="•"/>
      <w:lvlJc w:val="left"/>
      <w:pPr>
        <w:ind w:left="8104" w:hanging="267"/>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72"/>
    <w:rsid w:val="003F1B62"/>
    <w:rsid w:val="006543DF"/>
    <w:rsid w:val="00907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1"/>
    <w:semiHidden/>
    <w:unhideWhenUsed/>
    <w:qFormat/>
    <w:rsid w:val="00907E72"/>
    <w:pPr>
      <w:widowControl w:val="0"/>
      <w:autoSpaceDE w:val="0"/>
      <w:autoSpaceDN w:val="0"/>
      <w:spacing w:after="0" w:line="240" w:lineRule="auto"/>
      <w:ind w:left="441" w:hanging="319"/>
      <w:outlineLvl w:val="2"/>
    </w:pPr>
    <w:rPr>
      <w:rFonts w:ascii="Arial" w:eastAsia="Arial" w:hAnsi="Arial" w:cs="Arial"/>
      <w:b/>
      <w:bCs/>
      <w:sz w:val="23"/>
      <w:szCs w:val="23"/>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
    <w:semiHidden/>
    <w:rsid w:val="00907E72"/>
    <w:rPr>
      <w:rFonts w:ascii="Arial" w:eastAsia="Arial" w:hAnsi="Arial" w:cs="Arial"/>
      <w:b/>
      <w:bCs/>
      <w:sz w:val="23"/>
      <w:szCs w:val="23"/>
      <w:lang w:val="en-US"/>
    </w:rPr>
  </w:style>
  <w:style w:type="character" w:styleId="Lienhypertexte">
    <w:name w:val="Hyperlink"/>
    <w:basedOn w:val="Policepardfaut"/>
    <w:uiPriority w:val="99"/>
    <w:semiHidden/>
    <w:unhideWhenUsed/>
    <w:rsid w:val="00907E72"/>
    <w:rPr>
      <w:color w:val="000080"/>
      <w:u w:val="single"/>
    </w:rPr>
  </w:style>
  <w:style w:type="paragraph" w:styleId="NormalWeb">
    <w:name w:val="Normal (Web)"/>
    <w:basedOn w:val="Normal"/>
    <w:uiPriority w:val="99"/>
    <w:unhideWhenUsed/>
    <w:rsid w:val="00907E72"/>
    <w:pPr>
      <w:spacing w:before="100" w:beforeAutospacing="1" w:after="142" w:line="288"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1"/>
    <w:semiHidden/>
    <w:unhideWhenUsed/>
    <w:qFormat/>
    <w:rsid w:val="00907E72"/>
    <w:pPr>
      <w:widowControl w:val="0"/>
      <w:autoSpaceDE w:val="0"/>
      <w:autoSpaceDN w:val="0"/>
      <w:spacing w:after="0" w:line="240" w:lineRule="auto"/>
      <w:ind w:left="441" w:hanging="319"/>
      <w:outlineLvl w:val="2"/>
    </w:pPr>
    <w:rPr>
      <w:rFonts w:ascii="Arial" w:eastAsia="Arial" w:hAnsi="Arial" w:cs="Arial"/>
      <w:b/>
      <w:bCs/>
      <w:sz w:val="23"/>
      <w:szCs w:val="23"/>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
    <w:semiHidden/>
    <w:rsid w:val="00907E72"/>
    <w:rPr>
      <w:rFonts w:ascii="Arial" w:eastAsia="Arial" w:hAnsi="Arial" w:cs="Arial"/>
      <w:b/>
      <w:bCs/>
      <w:sz w:val="23"/>
      <w:szCs w:val="23"/>
      <w:lang w:val="en-US"/>
    </w:rPr>
  </w:style>
  <w:style w:type="character" w:styleId="Lienhypertexte">
    <w:name w:val="Hyperlink"/>
    <w:basedOn w:val="Policepardfaut"/>
    <w:uiPriority w:val="99"/>
    <w:semiHidden/>
    <w:unhideWhenUsed/>
    <w:rsid w:val="00907E72"/>
    <w:rPr>
      <w:color w:val="000080"/>
      <w:u w:val="single"/>
    </w:rPr>
  </w:style>
  <w:style w:type="paragraph" w:styleId="NormalWeb">
    <w:name w:val="Normal (Web)"/>
    <w:basedOn w:val="Normal"/>
    <w:uiPriority w:val="99"/>
    <w:unhideWhenUsed/>
    <w:rsid w:val="00907E72"/>
    <w:pPr>
      <w:spacing w:before="100" w:beforeAutospacing="1" w:after="142" w:line="288"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7662">
      <w:bodyDiv w:val="1"/>
      <w:marLeft w:val="0"/>
      <w:marRight w:val="0"/>
      <w:marTop w:val="0"/>
      <w:marBottom w:val="0"/>
      <w:divBdr>
        <w:top w:val="none" w:sz="0" w:space="0" w:color="auto"/>
        <w:left w:val="none" w:sz="0" w:space="0" w:color="auto"/>
        <w:bottom w:val="none" w:sz="0" w:space="0" w:color="auto"/>
        <w:right w:val="none" w:sz="0" w:space="0" w:color="auto"/>
      </w:divBdr>
    </w:div>
    <w:div w:id="13225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ia-urba-nord-bf@aviation-civile.gou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SNIA</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Guillaume.TERRIER</dc:creator>
  <cp:lastModifiedBy>Guillaume.TERRIER</cp:lastModifiedBy>
  <cp:revision>1</cp:revision>
  <dcterms:created xsi:type="dcterms:W3CDTF">2020-12-14T14:47:00Z</dcterms:created>
  <dcterms:modified xsi:type="dcterms:W3CDTF">2020-12-14T14:54:00Z</dcterms:modified>
</cp:coreProperties>
</file>